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LIBROS DE TEXTO Y MATERIAL DE 1º EDUCACIÓN PRIMARIA</w:t>
        <w:tab/>
        <w:t xml:space="preserve"> Curso 2023-24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2565"/>
        <w:gridCol w:w="1650"/>
        <w:gridCol w:w="1395"/>
        <w:gridCol w:w="2580"/>
        <w:tblGridChange w:id="0">
          <w:tblGrid>
            <w:gridCol w:w="1860"/>
            <w:gridCol w:w="2565"/>
            <w:gridCol w:w="1650"/>
            <w:gridCol w:w="1395"/>
            <w:gridCol w:w="2580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1"/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Asignatura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widowControl w:val="1"/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widowControl w:val="1"/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Idioma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widowControl w:val="1"/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widowControl w:val="1"/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ISBN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Lengua castellana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1º EP Lengua 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Revuela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Castellano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rtl w:val="0"/>
              </w:rPr>
              <w:t xml:space="preserve">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color w:val="43434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sz w:val="22"/>
                <w:szCs w:val="22"/>
                <w:highlight w:val="white"/>
                <w:rtl w:val="0"/>
              </w:rPr>
              <w:t xml:space="preserve">9788413924878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1º EP Matemáticas Revuela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Castellano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9788413924632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Coneixement del medi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1er. EP Coneixement del medi. Revola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9788413926186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Inglés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Open Up 1 Class Book with Digital Book Pack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Open Up 1 Activity Book with Digital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Inglés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OXFORD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9780194071512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9780194071925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1º EP LLengua </w:t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Revola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9788413925806</w:t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Religión y Música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1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Material de elaboración propia.</w:t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ind w:left="284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284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El material elaborado en el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centro incluye: el cuaderno de música, el cuaderno de religión, la agenda escolar y fichas complementarias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elaboradas por las maestras: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IMPORTE TOTAL: 30 €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284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284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Las familias que deseen reservar el lote de libros en el colegio  deben realizarlo a través de la aplicación EDUCAMOS del 12 al 19 de junio.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El lote estará disponible en el apartado ACTIVIDADES. Se reservará marcando la           opción INSCRIBIRSE.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284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MATERIAL ESCOLAR: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4 lápices Staedtler TRIPLUS nº 2.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 lápices bicolor azul y rojo.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 gomas de borrar.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sacapuntas con depósito.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tijeras de punta roma.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2 barras de pegamento. 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12 rotuladores finos (no gruesos como en Infantil).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12 colores de madera finos.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15 ceras Manley.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sobre de polipropileno tamaño folio color  rojo (material de inglés)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sobre de polipropileno tamaño folio color  naranja (material de música)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sobre de polipropileno tamaño folio color  verde (sobre viajero)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carpeta de cartón azul tamaño folio. 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Cuaderno Escolofi. Tamaño cuarto. Tapa dura. 50 hojas. Pauta 3,5. COLOR AZUL.</w:t>
      </w:r>
    </w:p>
    <w:p w:rsidR="00000000" w:rsidDel="00000000" w:rsidP="00000000" w:rsidRDefault="00000000" w:rsidRPr="00000000" w14:paraId="00000046">
      <w:pPr>
        <w:widowControl w:val="0"/>
        <w:spacing w:line="276" w:lineRule="auto"/>
        <w:ind w:left="72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(Ref. 20563-17)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Cuaderno Escolofi. Tamaño cuarto. Tapa dura. 50 hojas. Cuadro 6x6. COLOR NARANJA. (Ref. 20553-06)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pañuelos de papel.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estuche de bolsa con una cremallera para el material más habitual: lápiz, goma, sacapuntas con cajita y lápiz bicolor rojo y azul grueso.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estuche de bolsa con 2 cremalleras. En un compartimento pondremos los rotuladores finos y en el otro compartimento los colores de madera finos, pegamento y tijeras.</w:t>
      </w:r>
    </w:p>
    <w:p w:rsidR="00000000" w:rsidDel="00000000" w:rsidP="00000000" w:rsidRDefault="00000000" w:rsidRPr="00000000" w14:paraId="0000004B">
      <w:pPr>
        <w:widowControl w:val="0"/>
        <w:spacing w:line="276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INFORMACIÓN: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Las familias de alumnos de 1º de Primaria que hayan comprado los libros en el colegio, los tendrán en las aulas el primer día de clase.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Libros adquiridos fuera del colegio deberán traerse al colegio, SIN FORRAR y marcados con lápiz por si hay alguna confusión. 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El material escolar y las prendas de vestir deben ir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marcados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En 1º de Primaria NO es necesario forrar ningún libro.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center" w:leader="none" w:pos="4252"/>
          <w:tab w:val="right" w:leader="none" w:pos="8504"/>
        </w:tabs>
        <w:spacing w:after="240" w:line="276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Babero obligatorio de octubre a mayo. Se podrán adquirir en el colegio a través del siguiente correo: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hasta fin de existencias, o en el Corte inglés de Nuevo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ind w:left="72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El jueves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highlight w:val="white"/>
          <w:rtl w:val="0"/>
        </w:rPr>
        <w:t xml:space="preserve">7 de septiembre a las 16h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en el salón de actos, tendrá lugar la reunión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informativa con los tutores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sobre el inicio y la marcha del curso.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highlight w:val="white"/>
          <w:rtl w:val="0"/>
        </w:rPr>
        <w:t xml:space="preserve">Es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importante vuestra asistencia. </w:t>
      </w:r>
    </w:p>
    <w:p w:rsidR="00000000" w:rsidDel="00000000" w:rsidP="00000000" w:rsidRDefault="00000000" w:rsidRPr="00000000" w14:paraId="00000054">
      <w:pPr>
        <w:spacing w:after="200" w:lineRule="auto"/>
        <w:jc w:val="righ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Rule="auto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Tutores de 1º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275.5905511811022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8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3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3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1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A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teniment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VdH6RCOE5vJkVa/pXjSTR5QHQ==">CgMxLjA4AHIhMUEzZ3c4a3dwbjFLbVYzUjJ6dEgybFBmM3l5akMyeGR1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