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LIBROS DE TEXTO Y MATERIAL DE 3º EDUCACIÓN INFANTIL</w:t>
        <w:tab/>
        <w:t xml:space="preserve"> Curso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2"/>
        <w:gridCol w:w="2916"/>
        <w:gridCol w:w="1417"/>
        <w:gridCol w:w="1703"/>
        <w:gridCol w:w="2013"/>
        <w:tblGridChange w:id="0">
          <w:tblGrid>
            <w:gridCol w:w="2012"/>
            <w:gridCol w:w="2916"/>
            <w:gridCol w:w="1417"/>
            <w:gridCol w:w="1703"/>
            <w:gridCol w:w="2013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ind w:hanging="2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Matemáticas activas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Castellano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9788467592283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Proyectos explora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De vacaciones a Marte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Castellano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9788467592399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Proyecto explora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112 Emergencias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Castellano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S:M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highlight w:val="white"/>
                <w:rtl w:val="0"/>
              </w:rPr>
              <w:t xml:space="preserve">9788491075998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ind w:hanging="2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Inglés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Material elaborado en el colegio - 5€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Lectura comprensiva 5 años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Proyecto Rosetta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Solo se podrá  adquiere en el centro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Castellano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Mipama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Fichas complementarias elaboradas en el centro: importe 20 €.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El importe total del material (25€) será pasado por cuenta bancaria en septiembre. Se avisará del cargo en cuenta con anterioridad mediante la plataforma Educamos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Las familias que deseen reservar el lote de libros en el colegio  deben realizarlo a través de la aplicación EDUCAMOS del 12 al 19 de junio.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lote estará disponible en el apartado ACTIVIDADES. Se reservará marcando la opción INSCRIBIRSE.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Material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spacing w:befor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Foto tamaño carnet marcada con el nombre y apellido del alumno.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 lápices  triangulares  STABILO EASY graph (tened en cuenta si el alumno es diestro o zurdo)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barras de pegamento PRITT tamaño mediano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 de 18 lápices de color GRUESOS TRIO STABILO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cajas de 12 rotuladores STAEDTLER Noris gruesos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rotuladores para pizarra blanca BIC VELLEDA color negro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carpeta tamaño A4 de cartón azul sin solapas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toallitas húmedas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paquete de pañuelos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AVISOS IMPORTANTES: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Es necesario para trabajar la autonomía que la ropa sea lo más cómoda y práctica posible. Para ello rogamos evitar cinturones, tirantes, monos y cierres duros.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Por seguridad de los niños la mochila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rtl w:val="0"/>
        </w:rPr>
        <w:t xml:space="preserve">debe llevar ruedas. Recomendamos que la mochila tenga el tamaño necesario para que quepa una carpeta tamaño folio. Sugerencia: bolsillo lateral exterior para el agua.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Todas las prendas, </w:t>
      </w:r>
      <w:r w:rsidDel="00000000" w:rsidR="00000000" w:rsidRPr="00000000">
        <w:rPr>
          <w:rFonts w:ascii="Arial" w:cs="Arial" w:eastAsia="Arial" w:hAnsi="Arial"/>
          <w:rtl w:val="0"/>
        </w:rPr>
        <w:t xml:space="preserve">especialmente aquellas que se ponen y se quitan,  deben ir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marcadas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su nombre y primer apellido, y llevar una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cinta suficientemente larga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colgar en la percha.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Babero escolar obligatorio de 1º de Ed. Infantil hasta 4º de Primaria.</w:t>
      </w:r>
      <w:r w:rsidDel="00000000" w:rsidR="00000000" w:rsidRPr="00000000">
        <w:rPr>
          <w:rFonts w:ascii="Arial" w:cs="Arial" w:eastAsia="Arial" w:hAnsi="Arial"/>
          <w:rtl w:val="0"/>
        </w:rPr>
        <w:t xml:space="preserve">Se podrán adquirir en el colegio a través del siguiente correo: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hasta fin de existencias. También se podrá adquirir en el Corte inglés de Nuevo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MIÉRCOLES 6 DE SEPTIEMBRE a las 17h de la tarde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será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REUNIÓN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Salón de Actos para informar del inicio y marcha del curso.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Es importante vuestra asistencia.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Os pedimos que a la reunión no vengan los niños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El material y los libros</w:t>
      </w:r>
      <w:r w:rsidDel="00000000" w:rsidR="00000000" w:rsidRPr="00000000">
        <w:rPr>
          <w:rFonts w:ascii="Arial" w:cs="Arial" w:eastAsia="Arial" w:hAnsi="Arial"/>
          <w:rtl w:val="0"/>
        </w:rPr>
        <w:t xml:space="preserve">, los deberéis traer el día de la reunión en una bolsa con el nombre del niño/a. (El nombre sólo en la bolsa, no en los libros ni en el material). Ese mismo día entregaréis la foto del niño en mano a la tutora. (Marcada con el nombre por detrás).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saludo,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Tutoras de 3º ed. Infantil.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3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2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2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4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3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5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."/>
      <w:lvlJc w:val="left"/>
      <w:pPr>
        <w:ind w:left="216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teniment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e8TJERIO40iSFr58X4sn7Z+7w==">CgMxLjAyCWguMzBqMHpsbDgAciExeVNWaG5SREx2NndCYkpRdE9CWTRPOHdkanpPaE44OTg=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